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77" w:rsidRDefault="002C4677" w:rsidP="002C4677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>
        <w:rPr>
          <w:rFonts w:ascii="Gautami" w:hAnsi="Gautami" w:cs="Gautami"/>
          <w:b/>
          <w:sz w:val="40"/>
          <w:szCs w:val="40"/>
        </w:rPr>
        <w:t>Ársætlan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fyri</w:t>
      </w:r>
      <w:proofErr w:type="spellEnd"/>
      <w:r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:rsidR="002C4677" w:rsidRPr="00A33BAC" w:rsidRDefault="002C4677" w:rsidP="002C4677">
      <w:pPr>
        <w:jc w:val="center"/>
        <w:rPr>
          <w:rFonts w:ascii="Gautami" w:hAnsi="Gautami" w:cs="Gautami"/>
          <w:b/>
          <w:sz w:val="22"/>
          <w:szCs w:val="22"/>
        </w:rPr>
      </w:pPr>
      <w:proofErr w:type="spellStart"/>
      <w:r w:rsidRPr="00A33BAC">
        <w:rPr>
          <w:rFonts w:ascii="Gautami" w:hAnsi="Gautami" w:cs="Gautami"/>
          <w:b/>
          <w:sz w:val="22"/>
          <w:szCs w:val="22"/>
        </w:rPr>
        <w:t>Lærarin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undirvísir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í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lærugreinini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ger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ársætlan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, sum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verður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latin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leiðslu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skúlans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</w:t>
      </w:r>
      <w:proofErr w:type="spellStart"/>
      <w:r w:rsidRPr="00A33BAC">
        <w:rPr>
          <w:rFonts w:ascii="Gautami" w:hAnsi="Gautami" w:cs="Gautami"/>
          <w:b/>
          <w:sz w:val="22"/>
          <w:szCs w:val="22"/>
        </w:rPr>
        <w:t>fyri</w:t>
      </w:r>
      <w:proofErr w:type="spellEnd"/>
      <w:r w:rsidRPr="00A33BAC">
        <w:rPr>
          <w:rFonts w:ascii="Gautami" w:hAnsi="Gautami" w:cs="Gautami"/>
          <w:b/>
          <w:sz w:val="22"/>
          <w:szCs w:val="22"/>
        </w:rPr>
        <w:t xml:space="preserve"> 15. sept.</w:t>
      </w:r>
    </w:p>
    <w:p w:rsidR="002C4677" w:rsidRDefault="002C4677" w:rsidP="002C467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889"/>
      </w:tblGrid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D57D9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</w:t>
            </w:r>
            <w:r w:rsidR="005D4C9C">
              <w:rPr>
                <w:rFonts w:ascii="Gautami" w:hAnsi="Gautami" w:cs="Gautami"/>
              </w:rPr>
              <w:t>20</w:t>
            </w:r>
            <w:r>
              <w:rPr>
                <w:rFonts w:ascii="Gautami" w:hAnsi="Gautami" w:cs="Gautami"/>
              </w:rPr>
              <w:t xml:space="preserve"> </w:t>
            </w:r>
            <w:r w:rsidR="00B10B5C">
              <w:rPr>
                <w:rFonts w:ascii="Gautami" w:hAnsi="Gautami" w:cs="Gautami"/>
              </w:rPr>
              <w:t>–</w:t>
            </w:r>
            <w:r>
              <w:rPr>
                <w:rFonts w:ascii="Gautami" w:hAnsi="Gautami" w:cs="Gautami"/>
              </w:rPr>
              <w:t xml:space="preserve"> 20</w:t>
            </w:r>
            <w:r w:rsidR="00B10B5C">
              <w:rPr>
                <w:rFonts w:ascii="Gautami" w:hAnsi="Gautami" w:cs="Gautami"/>
              </w:rPr>
              <w:t>2</w:t>
            </w:r>
            <w:r w:rsidR="005D4C9C">
              <w:rPr>
                <w:rFonts w:ascii="Gautami" w:hAnsi="Gautami" w:cs="Gautami"/>
              </w:rPr>
              <w:t>1</w:t>
            </w:r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Skúlin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við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2B0236">
              <w:rPr>
                <w:rFonts w:ascii="Gautami" w:hAnsi="Gautami" w:cs="Gautami"/>
              </w:rPr>
              <w:t>.</w:t>
            </w:r>
            <w:r>
              <w:rPr>
                <w:rFonts w:ascii="Gautami" w:hAnsi="Gautami" w:cs="Gautami"/>
              </w:rPr>
              <w:t xml:space="preserve"> og 9.</w:t>
            </w:r>
            <w:r w:rsidR="002B0236">
              <w:rPr>
                <w:rFonts w:ascii="Gautami" w:hAnsi="Gautami" w:cs="Gautami"/>
              </w:rPr>
              <w:t xml:space="preserve"> </w:t>
            </w:r>
            <w:proofErr w:type="spellStart"/>
            <w:r w:rsidR="002B0236">
              <w:rPr>
                <w:rFonts w:ascii="Gautami" w:hAnsi="Gautami" w:cs="Gautami"/>
              </w:rPr>
              <w:t>flokkur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1E6AE3">
              <w:rPr>
                <w:rFonts w:ascii="Gautami" w:hAnsi="Gautami" w:cs="Gautami"/>
              </w:rPr>
              <w:t>.</w:t>
            </w:r>
            <w:r>
              <w:rPr>
                <w:rFonts w:ascii="Gautami" w:hAnsi="Gautami" w:cs="Gautami"/>
              </w:rPr>
              <w:t xml:space="preserve"> og 9.</w:t>
            </w:r>
            <w:r w:rsidR="001E6AE3">
              <w:rPr>
                <w:rFonts w:ascii="Gautami" w:hAnsi="Gautami" w:cs="Gautami"/>
              </w:rPr>
              <w:t xml:space="preserve"> </w:t>
            </w:r>
            <w:proofErr w:type="spellStart"/>
            <w:r w:rsidR="001E6AE3">
              <w:rPr>
                <w:rFonts w:ascii="Gautami" w:hAnsi="Gautami" w:cs="Gautami"/>
              </w:rPr>
              <w:t>flokkur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B10B5C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Hondbóltsbreyt</w:t>
            </w:r>
            <w:proofErr w:type="spellEnd"/>
          </w:p>
        </w:tc>
      </w:tr>
      <w:tr w:rsidR="002C4677" w:rsidTr="002C46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Default="002C467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Default="00443EC5" w:rsidP="00443EC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Teitur Joensen</w:t>
            </w:r>
            <w:r w:rsidR="00E302C8">
              <w:rPr>
                <w:rFonts w:ascii="Gautami" w:hAnsi="Gautami" w:cs="Gautami"/>
              </w:rPr>
              <w:t xml:space="preserve"> og Morten </w:t>
            </w:r>
            <w:proofErr w:type="spellStart"/>
            <w:r w:rsidR="00E302C8">
              <w:rPr>
                <w:rFonts w:ascii="Gautami" w:hAnsi="Gautami" w:cs="Gautami"/>
              </w:rPr>
              <w:t>Helwig</w:t>
            </w:r>
            <w:proofErr w:type="spellEnd"/>
          </w:p>
        </w:tc>
      </w:tr>
    </w:tbl>
    <w:p w:rsidR="002C4677" w:rsidRDefault="002C4677" w:rsidP="002C4677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7903"/>
      </w:tblGrid>
      <w:tr w:rsidR="002C4677" w:rsidRPr="00FC3282" w:rsidTr="00A33BAC">
        <w:trPr>
          <w:trHeight w:val="7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EA77F1" w:rsidRDefault="002C4677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Ársætlan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fyri</w:t>
            </w:r>
            <w:proofErr w:type="spellEnd"/>
            <w:r w:rsidRPr="00EA77F1">
              <w:rPr>
                <w:rFonts w:ascii="Gautami" w:hAnsi="Gautami" w:cs="Gautami"/>
                <w:b/>
                <w:szCs w:val="24"/>
              </w:rPr>
              <w:t xml:space="preserve"> </w:t>
            </w:r>
            <w:proofErr w:type="spellStart"/>
            <w:r w:rsidRPr="00EA77F1">
              <w:rPr>
                <w:rFonts w:ascii="Gautami" w:hAnsi="Gautami" w:cs="Gautami"/>
                <w:b/>
                <w:szCs w:val="24"/>
              </w:rPr>
              <w:t>lærugrein</w:t>
            </w:r>
            <w:proofErr w:type="spellEnd"/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Hondbóltsbreyt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nýggj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lærugrein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8. og 9.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flokki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r w:rsidR="005D4C9C">
              <w:rPr>
                <w:rFonts w:ascii="Gautami" w:hAnsi="Gautami"/>
                <w:color w:val="000000"/>
                <w:szCs w:val="24"/>
              </w:rPr>
              <w:t>2</w:t>
            </w:r>
            <w:r>
              <w:rPr>
                <w:rFonts w:ascii="Gautami" w:hAnsi="Gautami"/>
                <w:color w:val="000000"/>
                <w:szCs w:val="24"/>
              </w:rPr>
              <w:t xml:space="preserve"> s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kúlatímar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vikuna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Endamálið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fyrst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fremst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nema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sær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størri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kunnleika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ítróttagreinina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bæði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hondbóltsfakliga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tekniskt</w:t>
            </w:r>
            <w:proofErr w:type="spellEnd"/>
            <w:r w:rsidR="005D4C9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kropsliga</w:t>
            </w:r>
            <w:proofErr w:type="spellEnd"/>
            <w:r w:rsidR="005D4C9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sálarliga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 E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ndamálið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næmingurin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mennast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styrkjast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kropsliga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motoriskt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E302C8" w:rsidRDefault="00E302C8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Teir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5D4C9C">
              <w:rPr>
                <w:rFonts w:ascii="Gautami" w:hAnsi="Gautami"/>
                <w:color w:val="000000"/>
                <w:szCs w:val="24"/>
              </w:rPr>
              <w:t>báðir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tímarnir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lærugreinin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liggja</w:t>
            </w:r>
            <w:proofErr w:type="spellEnd"/>
            <w:r w:rsidRPr="00E302C8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E302C8">
              <w:rPr>
                <w:rFonts w:ascii="Gautami" w:hAnsi="Gautami"/>
                <w:color w:val="000000"/>
                <w:szCs w:val="24"/>
              </w:rPr>
              <w:t>saman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tí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alt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vanliga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vanlig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hondbóltsvenjing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fevnir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Dentur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lagdur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hondbóltsevni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avleveringar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flytingar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verjuspæl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mann-mann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krossspæl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álopsstøðu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skiftir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verjustøðu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proofErr w:type="gramStart"/>
            <w:r w:rsidR="00193E2C">
              <w:rPr>
                <w:rFonts w:ascii="Gautami" w:hAnsi="Gautami"/>
                <w:color w:val="000000"/>
                <w:szCs w:val="24"/>
              </w:rPr>
              <w:t>mótálop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,</w:t>
            </w:r>
            <w:proofErr w:type="gram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skotvenjing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málmansvenjing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mesta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fer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fram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høll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eins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og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vanlig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hondbóltsvenjing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men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ein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partur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undirvísingini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talvuundirvísing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.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hesari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undirvísing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dentur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rættiliga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stóran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mun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lagdur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tað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193E2C">
              <w:rPr>
                <w:rFonts w:ascii="Gautami" w:hAnsi="Gautami"/>
                <w:color w:val="000000"/>
                <w:szCs w:val="24"/>
              </w:rPr>
              <w:t>taktiska</w:t>
            </w:r>
            <w:proofErr w:type="spellEnd"/>
            <w:r w:rsidR="00193E2C">
              <w:rPr>
                <w:rFonts w:ascii="Gautami" w:hAnsi="Gautami"/>
                <w:color w:val="000000"/>
                <w:szCs w:val="24"/>
              </w:rPr>
              <w:t>.</w:t>
            </w:r>
          </w:p>
          <w:p w:rsidR="00193E2C" w:rsidRDefault="00193E2C" w:rsidP="002C4677">
            <w:pPr>
              <w:rPr>
                <w:rFonts w:ascii="Gautami" w:hAnsi="Gautami"/>
                <w:color w:val="000000"/>
                <w:szCs w:val="24"/>
              </w:rPr>
            </w:pPr>
          </w:p>
          <w:p w:rsidR="00193E2C" w:rsidRPr="00193E2C" w:rsidRDefault="00193E2C" w:rsidP="002C4677">
            <w:pPr>
              <w:rPr>
                <w:rFonts w:ascii="Gautami" w:hAnsi="Gautami"/>
                <w:color w:val="000000"/>
                <w:szCs w:val="24"/>
              </w:rPr>
            </w:pP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verða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tveir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/>
                <w:color w:val="000000"/>
                <w:szCs w:val="24"/>
              </w:rPr>
              <w:t>undirvísingina</w:t>
            </w:r>
            <w:proofErr w:type="spellEnd"/>
            <w:r w:rsidRPr="00193E2C">
              <w:rPr>
                <w:rFonts w:ascii="Gautami" w:hAnsi="Gautami"/>
                <w:color w:val="000000"/>
                <w:szCs w:val="24"/>
              </w:rPr>
              <w:t>, og</w:t>
            </w:r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rættiliga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týdningarmikið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ger,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fáa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møguleika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raka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allar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næmingarnar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okkara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Onkrar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av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teimum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meira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tekniskt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krevjandi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venjingunum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kunnu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stundum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avbjóðandi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fyri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tey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hava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lítlar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ella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ongar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royndir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innan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ítróttagreinina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og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tá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hava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góðar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møguleikar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til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gera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undirvísingina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næmingalagað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soleiðis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tey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færri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hondbóltsroyndum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eisini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fáa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avbjóðingar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teirra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stigi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>.</w:t>
            </w:r>
          </w:p>
          <w:p w:rsidR="00443EC5" w:rsidRPr="00EA77F1" w:rsidRDefault="00443EC5" w:rsidP="002C4677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="00EA77F1" w:rsidRDefault="00EA77F1" w:rsidP="00A33BAC">
            <w:pPr>
              <w:rPr>
                <w:rFonts w:ascii="Gautami" w:hAnsi="Gautami"/>
                <w:b/>
                <w:color w:val="000000"/>
                <w:szCs w:val="24"/>
              </w:rPr>
            </w:pPr>
          </w:p>
          <w:p w:rsidR="00A33BAC" w:rsidRDefault="00EA77F1" w:rsidP="00A33BAC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Arbeiðsháttur</w:t>
            </w:r>
            <w:proofErr w:type="spellEnd"/>
            <w:r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</w:t>
            </w:r>
          </w:p>
          <w:p w:rsidR="00193E2C" w:rsidRDefault="00193E2C">
            <w:pPr>
              <w:rPr>
                <w:rFonts w:ascii="Gautami" w:hAnsi="Gautami" w:cs="Gautami"/>
                <w:szCs w:val="24"/>
              </w:rPr>
            </w:pP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fyrst og </w:t>
            </w:r>
            <w:proofErr w:type="spellStart"/>
            <w:r>
              <w:rPr>
                <w:rFonts w:ascii="Gautami" w:hAnsi="Gautami" w:cs="Gautami"/>
                <w:szCs w:val="24"/>
              </w:rPr>
              <w:t>fremst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ítróttarhøll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Her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sjálvandi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upp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 w:cs="Gautami"/>
                <w:szCs w:val="24"/>
              </w:rPr>
              <w:t>fleiri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mátar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alt </w:t>
            </w:r>
            <w:proofErr w:type="spellStart"/>
            <w:r>
              <w:rPr>
                <w:rFonts w:ascii="Gautami" w:hAnsi="Gautami" w:cs="Gautami"/>
                <w:szCs w:val="24"/>
              </w:rPr>
              <w:t>eftir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hvat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er, sum </w:t>
            </w:r>
            <w:proofErr w:type="spellStart"/>
            <w:r>
              <w:rPr>
                <w:rFonts w:ascii="Gautami" w:hAnsi="Gautami" w:cs="Gautami"/>
                <w:szCs w:val="24"/>
              </w:rPr>
              <w:t>vit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arbeiða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við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arbeitt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pørum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bólkum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og </w:t>
            </w:r>
            <w:proofErr w:type="spellStart"/>
            <w:r>
              <w:rPr>
                <w:rFonts w:ascii="Gautami" w:hAnsi="Gautami" w:cs="Gautami"/>
                <w:szCs w:val="24"/>
              </w:rPr>
              <w:t>onkuntíð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einsæris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. </w:t>
            </w:r>
          </w:p>
          <w:p w:rsidR="002C4677" w:rsidRDefault="00193E2C">
            <w:pPr>
              <w:rPr>
                <w:rFonts w:ascii="Gautami" w:hAnsi="Gautami" w:cs="Gautami"/>
                <w:szCs w:val="24"/>
              </w:rPr>
            </w:pPr>
            <w:proofErr w:type="spellStart"/>
            <w:r w:rsidRPr="00193E2C">
              <w:rPr>
                <w:rFonts w:ascii="Gautami" w:hAnsi="Gautami" w:cs="Gautami"/>
                <w:szCs w:val="24"/>
              </w:rPr>
              <w:t>Tá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ið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arbeitt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verður</w:t>
            </w:r>
            <w:proofErr w:type="spellEnd"/>
            <w:r w:rsidRPr="00193E2C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Pr="00193E2C">
              <w:rPr>
                <w:rFonts w:ascii="Gautami" w:hAnsi="Gautami" w:cs="Gautami"/>
                <w:szCs w:val="24"/>
              </w:rPr>
              <w:t>v</w:t>
            </w:r>
            <w:r>
              <w:rPr>
                <w:rFonts w:ascii="Gautami" w:hAnsi="Gautami" w:cs="Gautami"/>
                <w:szCs w:val="24"/>
              </w:rPr>
              <w:t>ið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taktiska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økinum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talan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stóran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mun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um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talvuundirvísing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har </w:t>
            </w:r>
            <w:proofErr w:type="spellStart"/>
            <w:r>
              <w:rPr>
                <w:rFonts w:ascii="Gautami" w:hAnsi="Gautami" w:cs="Gautami"/>
                <w:szCs w:val="24"/>
              </w:rPr>
              <w:t>vit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(</w:t>
            </w:r>
            <w:proofErr w:type="spellStart"/>
            <w:r>
              <w:rPr>
                <w:rFonts w:ascii="Gautami" w:hAnsi="Gautami" w:cs="Gautami"/>
                <w:szCs w:val="24"/>
              </w:rPr>
              <w:t>lærararnir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) </w:t>
            </w:r>
            <w:proofErr w:type="spellStart"/>
            <w:r>
              <w:rPr>
                <w:rFonts w:ascii="Gautami" w:hAnsi="Gautami" w:cs="Gautami"/>
                <w:szCs w:val="24"/>
              </w:rPr>
              <w:t>taka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ávísar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støður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fram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á </w:t>
            </w:r>
            <w:proofErr w:type="spellStart"/>
            <w:r>
              <w:rPr>
                <w:rFonts w:ascii="Gautami" w:hAnsi="Gautami" w:cs="Gautami"/>
                <w:szCs w:val="24"/>
              </w:rPr>
              <w:t>talvu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sum </w:t>
            </w:r>
            <w:proofErr w:type="spellStart"/>
            <w:r>
              <w:rPr>
                <w:rFonts w:ascii="Gautami" w:hAnsi="Gautami" w:cs="Gautami"/>
                <w:szCs w:val="24"/>
              </w:rPr>
              <w:t>næmingurin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so skal </w:t>
            </w:r>
            <w:proofErr w:type="spellStart"/>
            <w:r>
              <w:rPr>
                <w:rFonts w:ascii="Gautami" w:hAnsi="Gautami" w:cs="Gautami"/>
                <w:szCs w:val="24"/>
              </w:rPr>
              <w:t>taka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støðu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til. </w:t>
            </w:r>
            <w:proofErr w:type="spellStart"/>
            <w:r>
              <w:rPr>
                <w:rFonts w:ascii="Gautami" w:hAnsi="Gautami" w:cs="Gautami"/>
                <w:szCs w:val="24"/>
              </w:rPr>
              <w:t>Ætlanin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er </w:t>
            </w:r>
            <w:proofErr w:type="spellStart"/>
            <w:r>
              <w:rPr>
                <w:rFonts w:ascii="Gautami" w:hAnsi="Gautami" w:cs="Gautami"/>
                <w:szCs w:val="24"/>
              </w:rPr>
              <w:t>eisini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, at </w:t>
            </w:r>
            <w:proofErr w:type="spellStart"/>
            <w:r>
              <w:rPr>
                <w:rFonts w:ascii="Gautami" w:hAnsi="Gautami" w:cs="Gautami"/>
                <w:szCs w:val="24"/>
              </w:rPr>
              <w:t>taktiska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talvuundirvísingin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skal </w:t>
            </w:r>
            <w:proofErr w:type="spellStart"/>
            <w:r>
              <w:rPr>
                <w:rFonts w:ascii="Gautami" w:hAnsi="Gautami" w:cs="Gautami"/>
                <w:szCs w:val="24"/>
              </w:rPr>
              <w:t>kunnu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fremjast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verki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r w:rsidR="00B74653">
              <w:rPr>
                <w:rFonts w:ascii="Gautami" w:hAnsi="Gautami" w:cs="Gautami"/>
                <w:szCs w:val="24"/>
              </w:rPr>
              <w:t xml:space="preserve">í </w:t>
            </w:r>
            <w:proofErr w:type="spellStart"/>
            <w:r w:rsidR="00B74653">
              <w:rPr>
                <w:rFonts w:ascii="Gautami" w:hAnsi="Gautami" w:cs="Gautami"/>
                <w:szCs w:val="24"/>
              </w:rPr>
              <w:t>sjálvari</w:t>
            </w:r>
            <w:proofErr w:type="spellEnd"/>
            <w:r w:rsidR="00B74653"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 w:cs="Gautami"/>
                <w:szCs w:val="24"/>
              </w:rPr>
              <w:t>hondbóltsvenjingini</w:t>
            </w:r>
            <w:proofErr w:type="spellEnd"/>
            <w:r w:rsidR="00B74653">
              <w:rPr>
                <w:rFonts w:ascii="Gautami" w:hAnsi="Gautami" w:cs="Gautami"/>
                <w:szCs w:val="24"/>
              </w:rPr>
              <w:t>.</w:t>
            </w:r>
          </w:p>
          <w:p w:rsidR="005D4C9C" w:rsidRPr="00FC3282" w:rsidRDefault="005D4C9C">
            <w:pPr>
              <w:rPr>
                <w:rFonts w:ascii="Gautami" w:hAnsi="Gautami" w:cs="Gautami"/>
                <w:szCs w:val="24"/>
              </w:rPr>
            </w:pPr>
            <w:proofErr w:type="spellStart"/>
            <w:r>
              <w:rPr>
                <w:rFonts w:ascii="Gautami" w:hAnsi="Gautami" w:cs="Gautami"/>
                <w:szCs w:val="24"/>
              </w:rPr>
              <w:t>Umframt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hetta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verður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fer </w:t>
            </w:r>
            <w:proofErr w:type="spellStart"/>
            <w:r>
              <w:rPr>
                <w:rFonts w:ascii="Gautami" w:hAnsi="Gautami" w:cs="Gautami"/>
                <w:szCs w:val="24"/>
              </w:rPr>
              <w:t>sálarliga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venjingin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eisini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Cs w:val="24"/>
              </w:rPr>
              <w:t>fram</w:t>
            </w:r>
            <w:proofErr w:type="spellEnd"/>
            <w:r>
              <w:rPr>
                <w:rFonts w:ascii="Gautami" w:hAnsi="Gautami" w:cs="Gautami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szCs w:val="24"/>
              </w:rPr>
              <w:t>floksstovu</w:t>
            </w:r>
            <w:proofErr w:type="spellEnd"/>
            <w:r>
              <w:rPr>
                <w:rFonts w:ascii="Gautami" w:hAnsi="Gautami" w:cs="Gautami"/>
                <w:szCs w:val="24"/>
              </w:rPr>
              <w:t>.</w:t>
            </w:r>
          </w:p>
        </w:tc>
      </w:tr>
    </w:tbl>
    <w:p w:rsidR="002C4677" w:rsidRPr="00FC3282" w:rsidRDefault="002C4677" w:rsidP="002C4677">
      <w:pPr>
        <w:rPr>
          <w:rFonts w:ascii="Gautami" w:hAnsi="Gautami" w:cs="Gautami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377"/>
      </w:tblGrid>
      <w:tr w:rsidR="002C4677" w:rsidRPr="00FC328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FC3282" w:rsidRDefault="002C46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7" w:rsidRPr="00FC3282" w:rsidRDefault="002C4677" w:rsidP="00A33BAC">
            <w:pPr>
              <w:jc w:val="both"/>
              <w:rPr>
                <w:rFonts w:ascii="Gautami" w:hAnsi="Gautami" w:cs="Gautami"/>
                <w:szCs w:val="24"/>
              </w:rPr>
            </w:pPr>
          </w:p>
        </w:tc>
      </w:tr>
      <w:tr w:rsidR="002C4677" w:rsidRPr="00EA77F1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FC3282" w:rsidRDefault="002C4677">
            <w:pPr>
              <w:rPr>
                <w:rFonts w:ascii="Gautami" w:hAnsi="Gautami" w:cs="Gautami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C" w:rsidRPr="00EA77F1" w:rsidRDefault="00EA77F1" w:rsidP="00A33BAC">
            <w:pPr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Tilfar</w:t>
            </w:r>
            <w:proofErr w:type="spellEnd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 xml:space="preserve"> og </w:t>
            </w:r>
            <w:proofErr w:type="spellStart"/>
            <w:r w:rsidRPr="00EA77F1">
              <w:rPr>
                <w:rFonts w:ascii="Gautami" w:hAnsi="Gautami"/>
                <w:b/>
                <w:color w:val="000000"/>
                <w:sz w:val="28"/>
                <w:szCs w:val="28"/>
              </w:rPr>
              <w:t>amboð</w:t>
            </w:r>
            <w:proofErr w:type="spellEnd"/>
          </w:p>
          <w:p w:rsidR="005D4C9C" w:rsidRDefault="00B74653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Ítróttahøllin</w:t>
            </w:r>
            <w:proofErr w:type="spellEnd"/>
          </w:p>
          <w:p w:rsidR="00FC3282" w:rsidRDefault="00FC3282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Langmáttan</w:t>
            </w:r>
            <w:proofErr w:type="spellEnd"/>
          </w:p>
          <w:p w:rsidR="00FC3282" w:rsidRPr="00FC3282" w:rsidRDefault="00FC3282" w:rsidP="00A33BAC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Ymiskt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tilfar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mannakroppin</w:t>
            </w:r>
            <w:bookmarkStart w:id="0" w:name="_GoBack"/>
            <w:bookmarkEnd w:id="0"/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1E6AE3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C" w:rsidRPr="00D57D95" w:rsidRDefault="00A33BAC" w:rsidP="00A33BAC">
            <w:pPr>
              <w:rPr>
                <w:rFonts w:ascii="Comic Sans MS" w:hAnsi="Comic Sans MS"/>
                <w:color w:val="000000"/>
              </w:rPr>
            </w:pPr>
          </w:p>
          <w:p w:rsidR="00EA77F1" w:rsidRDefault="00EA77F1" w:rsidP="00EA77F1">
            <w:pPr>
              <w:jc w:val="both"/>
              <w:rPr>
                <w:rFonts w:ascii="Gautami" w:hAnsi="Gautami"/>
                <w:b/>
                <w:color w:val="000000"/>
                <w:sz w:val="28"/>
                <w:szCs w:val="28"/>
              </w:rPr>
            </w:pPr>
            <w:proofErr w:type="spellStart"/>
            <w:r w:rsidRPr="00D57D95">
              <w:rPr>
                <w:rFonts w:ascii="Gautami" w:hAnsi="Gautami"/>
                <w:b/>
                <w:color w:val="000000"/>
                <w:sz w:val="28"/>
                <w:szCs w:val="28"/>
              </w:rPr>
              <w:t>Eftirmeting</w:t>
            </w:r>
            <w:proofErr w:type="spellEnd"/>
          </w:p>
          <w:p w:rsidR="00FC3282" w:rsidRPr="00FC3282" w:rsidRDefault="00FC3282" w:rsidP="00EA77F1">
            <w:pPr>
              <w:jc w:val="both"/>
              <w:rPr>
                <w:rFonts w:ascii="Gautami" w:hAnsi="Gautami"/>
                <w:color w:val="000000"/>
                <w:szCs w:val="24"/>
              </w:rPr>
            </w:pPr>
            <w:proofErr w:type="spellStart"/>
            <w:r>
              <w:rPr>
                <w:rFonts w:ascii="Gautami" w:hAnsi="Gautami"/>
                <w:color w:val="000000"/>
                <w:szCs w:val="24"/>
              </w:rPr>
              <w:t>Eftirmett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so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hvørt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í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gjøgnum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skúlaárið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Hetta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utami" w:hAnsi="Gautami"/>
                <w:color w:val="000000"/>
                <w:szCs w:val="24"/>
              </w:rPr>
              <w:t>verður</w:t>
            </w:r>
            <w:proofErr w:type="spellEnd"/>
            <w:r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gjørt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við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 xml:space="preserve"> </w:t>
            </w:r>
            <w:proofErr w:type="spellStart"/>
            <w:r w:rsidR="00B74653">
              <w:rPr>
                <w:rFonts w:ascii="Gautami" w:hAnsi="Gautami"/>
                <w:color w:val="000000"/>
                <w:szCs w:val="24"/>
              </w:rPr>
              <w:t>eygleiðing</w:t>
            </w:r>
            <w:proofErr w:type="spellEnd"/>
            <w:r w:rsidR="00B74653">
              <w:rPr>
                <w:rFonts w:ascii="Gautami" w:hAnsi="Gautami"/>
                <w:color w:val="000000"/>
                <w:szCs w:val="24"/>
              </w:rPr>
              <w:t>.</w:t>
            </w:r>
          </w:p>
          <w:p w:rsidR="00EA77F1" w:rsidRPr="00B7366B" w:rsidRDefault="00EA77F1" w:rsidP="00A33BAC">
            <w:pPr>
              <w:rPr>
                <w:rFonts w:ascii="Comic Sans MS" w:hAnsi="Comic Sans MS"/>
                <w:color w:val="000000"/>
              </w:rPr>
            </w:pPr>
          </w:p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  <w:tr w:rsidR="002C4677" w:rsidRPr="00710C92" w:rsidTr="00A33BA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7" w:rsidRPr="00B7366B" w:rsidRDefault="002C4677">
            <w:pPr>
              <w:rPr>
                <w:rFonts w:ascii="Gautami" w:hAnsi="Gautami" w:cs="Gautami"/>
              </w:rPr>
            </w:pPr>
          </w:p>
        </w:tc>
      </w:tr>
    </w:tbl>
    <w:p w:rsidR="002C4677" w:rsidRPr="00B7366B" w:rsidRDefault="002C4677" w:rsidP="002C4677">
      <w:pPr>
        <w:rPr>
          <w:rFonts w:ascii="Gautami" w:hAnsi="Gautami" w:cs="Gautami"/>
        </w:rPr>
      </w:pPr>
    </w:p>
    <w:p w:rsidR="00BC578A" w:rsidRPr="00B7366B" w:rsidRDefault="00BC578A"/>
    <w:sectPr w:rsidR="00BC578A" w:rsidRPr="00B7366B" w:rsidSect="00A33BAC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B5"/>
    <w:multiLevelType w:val="hybridMultilevel"/>
    <w:tmpl w:val="78DA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A1"/>
    <w:multiLevelType w:val="hybridMultilevel"/>
    <w:tmpl w:val="A4886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132C"/>
    <w:multiLevelType w:val="hybridMultilevel"/>
    <w:tmpl w:val="7A14D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E23BE"/>
    <w:multiLevelType w:val="hybridMultilevel"/>
    <w:tmpl w:val="BFBC2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77"/>
    <w:rsid w:val="00070D68"/>
    <w:rsid w:val="000E6695"/>
    <w:rsid w:val="001756A2"/>
    <w:rsid w:val="00193E2C"/>
    <w:rsid w:val="001E6AE3"/>
    <w:rsid w:val="001F5D67"/>
    <w:rsid w:val="00205744"/>
    <w:rsid w:val="002B0236"/>
    <w:rsid w:val="002C4677"/>
    <w:rsid w:val="00317B57"/>
    <w:rsid w:val="003853C4"/>
    <w:rsid w:val="00443EC5"/>
    <w:rsid w:val="005D4C9C"/>
    <w:rsid w:val="00650438"/>
    <w:rsid w:val="00710C92"/>
    <w:rsid w:val="0075565C"/>
    <w:rsid w:val="008867CB"/>
    <w:rsid w:val="00933F0F"/>
    <w:rsid w:val="00A33BAC"/>
    <w:rsid w:val="00B10B5C"/>
    <w:rsid w:val="00B46FB9"/>
    <w:rsid w:val="00B7366B"/>
    <w:rsid w:val="00B74653"/>
    <w:rsid w:val="00BC578A"/>
    <w:rsid w:val="00D57D95"/>
    <w:rsid w:val="00E302C8"/>
    <w:rsid w:val="00E71908"/>
    <w:rsid w:val="00EA77F1"/>
    <w:rsid w:val="00F4315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A6D"/>
  <w15:docId w15:val="{6FA03BBF-5B18-4464-B72E-B9E5036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3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CD1BA-4575-4033-8848-277B9D74A0C7}"/>
</file>

<file path=customXml/itemProps2.xml><?xml version="1.0" encoding="utf-8"?>
<ds:datastoreItem xmlns:ds="http://schemas.openxmlformats.org/officeDocument/2006/customXml" ds:itemID="{97BA2574-7229-4AA4-8539-1A6373AAD186}"/>
</file>

<file path=customXml/itemProps3.xml><?xml version="1.0" encoding="utf-8"?>
<ds:datastoreItem xmlns:ds="http://schemas.openxmlformats.org/officeDocument/2006/customXml" ds:itemID="{5A93CAA0-795E-4821-BF8E-72F5EB3AE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Sunda Kommuna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Schandorff Vang</dc:creator>
  <cp:lastModifiedBy>Teitur Joensen</cp:lastModifiedBy>
  <cp:revision>2</cp:revision>
  <dcterms:created xsi:type="dcterms:W3CDTF">2020-09-09T11:57:00Z</dcterms:created>
  <dcterms:modified xsi:type="dcterms:W3CDTF">2020-09-09T11:57:00Z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